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57BD" w14:textId="77777777"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Membership</w:t>
      </w:r>
    </w:p>
    <w:p w14:paraId="7C5E6C9D" w14:textId="77777777" w:rsidR="002B2AF8" w:rsidRDefault="002B2AF8" w:rsidP="001643A3">
      <w:pPr>
        <w:spacing w:after="0"/>
        <w:rPr>
          <w:rFonts w:asciiTheme="majorHAnsi" w:eastAsiaTheme="majorEastAsia" w:hAnsiTheme="majorHAnsi" w:cstheme="majorHAnsi"/>
          <w:sz w:val="24"/>
          <w:szCs w:val="24"/>
        </w:rPr>
      </w:pPr>
      <w:r w:rsidRPr="002B2AF8">
        <w:rPr>
          <w:rFonts w:asciiTheme="majorHAnsi" w:eastAsiaTheme="majorEastAsia" w:hAnsiTheme="majorHAnsi" w:cstheme="majorHAnsi"/>
          <w:sz w:val="24"/>
          <w:szCs w:val="24"/>
        </w:rPr>
        <w:t>The Academic Studies Governance Committee (ASGC), in collaboration and cooperation with the Vice Dean for Academic Affairs and Academic Administration, concerns itself primarily with policy issues regarding the academic programs and courses in the College. The Academic Studies Governance Committee may create subcommittees or other structures and delegate portions of its activity to them, while retaining the final governing responsibility.</w:t>
      </w:r>
    </w:p>
    <w:p w14:paraId="5097ABB0" w14:textId="77777777" w:rsidR="002B2AF8" w:rsidRDefault="002B2AF8" w:rsidP="001643A3">
      <w:pPr>
        <w:spacing w:after="0"/>
        <w:rPr>
          <w:rFonts w:asciiTheme="majorHAnsi" w:eastAsiaTheme="majorEastAsia" w:hAnsiTheme="majorHAnsi" w:cstheme="majorHAnsi"/>
          <w:sz w:val="24"/>
          <w:szCs w:val="24"/>
        </w:rPr>
      </w:pPr>
    </w:p>
    <w:p w14:paraId="44BA89AE" w14:textId="4D79B167" w:rsidR="000B5311" w:rsidRPr="000B5311" w:rsidRDefault="001643A3" w:rsidP="001643A3">
      <w:pPr>
        <w:spacing w:after="0"/>
        <w:rPr>
          <w:rFonts w:asciiTheme="majorHAnsi" w:eastAsiaTheme="majorEastAsia" w:hAnsiTheme="majorHAnsi" w:cstheme="majorHAnsi"/>
          <w:sz w:val="24"/>
          <w:szCs w:val="24"/>
        </w:rPr>
      </w:pPr>
      <w:r w:rsidRPr="000B5311">
        <w:rPr>
          <w:rFonts w:asciiTheme="majorHAnsi" w:eastAsiaTheme="majorEastAsia" w:hAnsiTheme="majorHAnsi" w:cstheme="majorHAnsi"/>
          <w:sz w:val="24"/>
          <w:szCs w:val="24"/>
        </w:rPr>
        <w:t>Members include</w:t>
      </w:r>
      <w:r w:rsidR="000B5311" w:rsidRPr="000B5311">
        <w:rPr>
          <w:rFonts w:asciiTheme="majorHAnsi" w:eastAsiaTheme="majorEastAsia" w:hAnsiTheme="majorHAnsi" w:cstheme="majorHAnsi"/>
          <w:sz w:val="24"/>
          <w:szCs w:val="24"/>
        </w:rPr>
        <w:t>:</w:t>
      </w:r>
    </w:p>
    <w:p w14:paraId="641C2A7E" w14:textId="77777777" w:rsidR="00626BB9" w:rsidRPr="00626BB9" w:rsidRDefault="00626BB9" w:rsidP="00626BB9">
      <w:pPr>
        <w:widowControl w:val="0"/>
        <w:numPr>
          <w:ilvl w:val="3"/>
          <w:numId w:val="17"/>
        </w:numPr>
        <w:tabs>
          <w:tab w:val="left" w:pos="1557"/>
        </w:tabs>
        <w:autoSpaceDE w:val="0"/>
        <w:autoSpaceDN w:val="0"/>
        <w:spacing w:after="120" w:line="240" w:lineRule="auto"/>
        <w:ind w:left="360" w:right="427"/>
        <w:rPr>
          <w:rFonts w:asciiTheme="majorHAnsi" w:eastAsia="Times New Roman" w:hAnsiTheme="majorHAnsi" w:cstheme="majorHAnsi"/>
          <w:sz w:val="24"/>
          <w:szCs w:val="24"/>
          <w:lang w:bidi="en-US"/>
        </w:rPr>
      </w:pPr>
      <w:r w:rsidRPr="00626BB9">
        <w:rPr>
          <w:rFonts w:asciiTheme="majorHAnsi" w:eastAsia="Times New Roman" w:hAnsiTheme="majorHAnsi" w:cstheme="majorHAnsi"/>
          <w:sz w:val="24"/>
          <w:szCs w:val="24"/>
          <w:lang w:bidi="en-US"/>
        </w:rPr>
        <w:t>One unique faculty member representing each specialization for a 2-year term. A single faculty member may represent a specialization across multiple degree programs (e.g., one faculty member representing BSPH-EPH, MPH-EHS, MS-EPH, and PhD-EPH). The terms are staggered so that approximately one-half end each year. The</w:t>
      </w:r>
      <w:r w:rsidRPr="00626BB9">
        <w:rPr>
          <w:rFonts w:asciiTheme="majorHAnsi" w:eastAsia="Times New Roman" w:hAnsiTheme="majorHAnsi" w:cstheme="majorHAnsi"/>
          <w:spacing w:val="-13"/>
          <w:sz w:val="24"/>
          <w:szCs w:val="24"/>
          <w:lang w:bidi="en-US"/>
        </w:rPr>
        <w:t xml:space="preserve"> </w:t>
      </w:r>
      <w:r w:rsidRPr="00626BB9">
        <w:rPr>
          <w:rFonts w:asciiTheme="majorHAnsi" w:eastAsia="Times New Roman" w:hAnsiTheme="majorHAnsi" w:cstheme="majorHAnsi"/>
          <w:sz w:val="24"/>
          <w:szCs w:val="24"/>
          <w:lang w:bidi="en-US"/>
        </w:rPr>
        <w:t>representatives of those specializations that are identical to Divisions of the College will be appointed by the Division Chair in consultation with the Division faculty. Representatives of the other specializations will be appointed by the Vice Dean in consultation with the faculty of the</w:t>
      </w:r>
      <w:r w:rsidRPr="00626BB9">
        <w:rPr>
          <w:rFonts w:asciiTheme="majorHAnsi" w:eastAsia="Times New Roman" w:hAnsiTheme="majorHAnsi" w:cstheme="majorHAnsi"/>
          <w:spacing w:val="-1"/>
          <w:sz w:val="24"/>
          <w:szCs w:val="24"/>
          <w:lang w:bidi="en-US"/>
        </w:rPr>
        <w:t xml:space="preserve"> </w:t>
      </w:r>
      <w:r w:rsidRPr="00626BB9">
        <w:rPr>
          <w:rFonts w:asciiTheme="majorHAnsi" w:eastAsia="Times New Roman" w:hAnsiTheme="majorHAnsi" w:cstheme="majorHAnsi"/>
          <w:sz w:val="24"/>
          <w:szCs w:val="24"/>
          <w:lang w:bidi="en-US"/>
        </w:rPr>
        <w:t>specialization.</w:t>
      </w:r>
    </w:p>
    <w:p w14:paraId="279713F1" w14:textId="77777777" w:rsidR="00626BB9" w:rsidRPr="00626BB9" w:rsidRDefault="00626BB9" w:rsidP="00626BB9">
      <w:pPr>
        <w:widowControl w:val="0"/>
        <w:numPr>
          <w:ilvl w:val="3"/>
          <w:numId w:val="17"/>
        </w:numPr>
        <w:tabs>
          <w:tab w:val="left" w:pos="1557"/>
        </w:tabs>
        <w:autoSpaceDE w:val="0"/>
        <w:autoSpaceDN w:val="0"/>
        <w:spacing w:before="1" w:after="120" w:line="240" w:lineRule="auto"/>
        <w:ind w:left="360" w:right="540"/>
        <w:rPr>
          <w:rFonts w:asciiTheme="majorHAnsi" w:eastAsia="Times New Roman" w:hAnsiTheme="majorHAnsi" w:cstheme="majorHAnsi"/>
          <w:sz w:val="24"/>
          <w:szCs w:val="24"/>
          <w:lang w:bidi="en-US"/>
        </w:rPr>
      </w:pPr>
      <w:r w:rsidRPr="00626BB9">
        <w:rPr>
          <w:rFonts w:asciiTheme="majorHAnsi" w:eastAsia="Times New Roman" w:hAnsiTheme="majorHAnsi" w:cstheme="majorHAnsi"/>
          <w:sz w:val="24"/>
          <w:szCs w:val="24"/>
          <w:lang w:bidi="en-US"/>
        </w:rPr>
        <w:t>Chair, for a 3-year term, selected by the Committee from among the faculty members who hold a tenured or clinical appointment as associate professor or professor in the</w:t>
      </w:r>
      <w:r w:rsidRPr="00626BB9">
        <w:rPr>
          <w:rFonts w:asciiTheme="majorHAnsi" w:eastAsia="Times New Roman" w:hAnsiTheme="majorHAnsi" w:cstheme="majorHAnsi"/>
          <w:spacing w:val="-10"/>
          <w:sz w:val="24"/>
          <w:szCs w:val="24"/>
          <w:lang w:bidi="en-US"/>
        </w:rPr>
        <w:t xml:space="preserve"> </w:t>
      </w:r>
      <w:r w:rsidRPr="00626BB9">
        <w:rPr>
          <w:rFonts w:asciiTheme="majorHAnsi" w:eastAsia="Times New Roman" w:hAnsiTheme="majorHAnsi" w:cstheme="majorHAnsi"/>
          <w:sz w:val="24"/>
          <w:szCs w:val="24"/>
          <w:lang w:bidi="en-US"/>
        </w:rPr>
        <w:t xml:space="preserve">College and who serve presently or have served previously on the Committee (or who have served on the Graduate Studies Committee or Undergraduate Studies Committee). </w:t>
      </w:r>
    </w:p>
    <w:p w14:paraId="69E4DB2A" w14:textId="77777777" w:rsidR="00626BB9" w:rsidRPr="00626BB9" w:rsidRDefault="00626BB9" w:rsidP="00626BB9">
      <w:pPr>
        <w:widowControl w:val="0"/>
        <w:numPr>
          <w:ilvl w:val="3"/>
          <w:numId w:val="17"/>
        </w:numPr>
        <w:tabs>
          <w:tab w:val="left" w:pos="1557"/>
        </w:tabs>
        <w:autoSpaceDE w:val="0"/>
        <w:autoSpaceDN w:val="0"/>
        <w:spacing w:after="120" w:line="240" w:lineRule="auto"/>
        <w:ind w:left="360" w:right="614"/>
        <w:rPr>
          <w:rFonts w:asciiTheme="majorHAnsi" w:eastAsia="Times New Roman" w:hAnsiTheme="majorHAnsi" w:cstheme="majorHAnsi"/>
          <w:sz w:val="24"/>
          <w:szCs w:val="24"/>
          <w:lang w:bidi="en-US"/>
        </w:rPr>
      </w:pPr>
      <w:r w:rsidRPr="00626BB9">
        <w:rPr>
          <w:rFonts w:asciiTheme="majorHAnsi" w:eastAsia="Times New Roman" w:hAnsiTheme="majorHAnsi" w:cstheme="majorHAnsi"/>
          <w:sz w:val="24"/>
          <w:szCs w:val="24"/>
          <w:lang w:bidi="en-US"/>
        </w:rPr>
        <w:t>A student member from each degree program (e.g., BSPH, MPH, MHA, MPH/PEP, MS, PhD) selected by the Student Advisory Committee or via an applicable Division or specialization for a one-year term. If any student position is not filled in a timely fashion, the Academic Studies Governance Committee may appoint a student member for the present academic year.</w:t>
      </w:r>
    </w:p>
    <w:p w14:paraId="0BB8D991" w14:textId="77777777" w:rsidR="00626BB9" w:rsidRPr="00626BB9" w:rsidRDefault="00626BB9" w:rsidP="00626BB9">
      <w:pPr>
        <w:widowControl w:val="0"/>
        <w:numPr>
          <w:ilvl w:val="3"/>
          <w:numId w:val="17"/>
        </w:numPr>
        <w:tabs>
          <w:tab w:val="left" w:pos="1557"/>
        </w:tabs>
        <w:autoSpaceDE w:val="0"/>
        <w:autoSpaceDN w:val="0"/>
        <w:spacing w:after="120" w:line="240" w:lineRule="auto"/>
        <w:ind w:left="360"/>
        <w:rPr>
          <w:rFonts w:asciiTheme="majorHAnsi" w:eastAsia="Calibri" w:hAnsiTheme="majorHAnsi" w:cstheme="majorHAnsi"/>
          <w:b/>
          <w:bCs/>
          <w:sz w:val="24"/>
          <w:szCs w:val="24"/>
        </w:rPr>
      </w:pPr>
      <w:r w:rsidRPr="00626BB9">
        <w:rPr>
          <w:rFonts w:asciiTheme="majorHAnsi" w:eastAsia="Times New Roman" w:hAnsiTheme="majorHAnsi" w:cstheme="majorHAnsi"/>
          <w:sz w:val="24"/>
          <w:szCs w:val="24"/>
          <w:lang w:bidi="en-US"/>
        </w:rPr>
        <w:t>Vice Dean for Academic Affairs and Academic Administration, serving ex officio and</w:t>
      </w:r>
      <w:r w:rsidRPr="00626BB9">
        <w:rPr>
          <w:rFonts w:asciiTheme="majorHAnsi" w:eastAsia="Times New Roman" w:hAnsiTheme="majorHAnsi" w:cstheme="majorHAnsi"/>
          <w:spacing w:val="-7"/>
          <w:sz w:val="24"/>
          <w:szCs w:val="24"/>
          <w:lang w:bidi="en-US"/>
        </w:rPr>
        <w:t xml:space="preserve"> </w:t>
      </w:r>
      <w:r w:rsidRPr="00626BB9">
        <w:rPr>
          <w:rFonts w:asciiTheme="majorHAnsi" w:eastAsia="Times New Roman" w:hAnsiTheme="majorHAnsi" w:cstheme="majorHAnsi"/>
          <w:sz w:val="24"/>
          <w:szCs w:val="24"/>
          <w:lang w:bidi="en-US"/>
        </w:rPr>
        <w:t>nonvoting.</w:t>
      </w:r>
    </w:p>
    <w:p w14:paraId="4D7F3417" w14:textId="77777777" w:rsidR="00626BB9" w:rsidRPr="00626BB9" w:rsidRDefault="00626BB9" w:rsidP="00626BB9">
      <w:pPr>
        <w:widowControl w:val="0"/>
        <w:numPr>
          <w:ilvl w:val="3"/>
          <w:numId w:val="17"/>
        </w:numPr>
        <w:tabs>
          <w:tab w:val="left" w:pos="1557"/>
        </w:tabs>
        <w:autoSpaceDE w:val="0"/>
        <w:autoSpaceDN w:val="0"/>
        <w:spacing w:after="120" w:line="240" w:lineRule="auto"/>
        <w:ind w:left="360"/>
        <w:rPr>
          <w:rFonts w:asciiTheme="majorHAnsi" w:eastAsia="Calibri" w:hAnsiTheme="majorHAnsi" w:cstheme="majorHAnsi"/>
          <w:b/>
          <w:bCs/>
          <w:sz w:val="24"/>
          <w:szCs w:val="24"/>
        </w:rPr>
      </w:pPr>
      <w:r w:rsidRPr="00626BB9">
        <w:rPr>
          <w:rFonts w:asciiTheme="majorHAnsi" w:eastAsia="Times New Roman" w:hAnsiTheme="majorHAnsi" w:cstheme="majorHAnsi"/>
          <w:sz w:val="24"/>
          <w:szCs w:val="24"/>
          <w:lang w:bidi="en-US"/>
        </w:rPr>
        <w:t>Associate Dean for Undergraduate Studies and Assessment, serving ex officio and</w:t>
      </w:r>
      <w:r w:rsidRPr="00626BB9">
        <w:rPr>
          <w:rFonts w:asciiTheme="majorHAnsi" w:eastAsia="Times New Roman" w:hAnsiTheme="majorHAnsi" w:cstheme="majorHAnsi"/>
          <w:spacing w:val="-7"/>
          <w:sz w:val="24"/>
          <w:szCs w:val="24"/>
          <w:lang w:bidi="en-US"/>
        </w:rPr>
        <w:t xml:space="preserve"> </w:t>
      </w:r>
      <w:r w:rsidRPr="00626BB9">
        <w:rPr>
          <w:rFonts w:asciiTheme="majorHAnsi" w:eastAsia="Times New Roman" w:hAnsiTheme="majorHAnsi" w:cstheme="majorHAnsi"/>
          <w:sz w:val="24"/>
          <w:szCs w:val="24"/>
          <w:lang w:bidi="en-US"/>
        </w:rPr>
        <w:t>nonvoting.</w:t>
      </w:r>
    </w:p>
    <w:p w14:paraId="23FE3AD6" w14:textId="77777777" w:rsidR="00626BB9" w:rsidRPr="00626BB9" w:rsidRDefault="00626BB9" w:rsidP="00626BB9">
      <w:pPr>
        <w:widowControl w:val="0"/>
        <w:numPr>
          <w:ilvl w:val="3"/>
          <w:numId w:val="17"/>
        </w:numPr>
        <w:tabs>
          <w:tab w:val="left" w:pos="1557"/>
        </w:tabs>
        <w:autoSpaceDE w:val="0"/>
        <w:autoSpaceDN w:val="0"/>
        <w:spacing w:after="120" w:line="240" w:lineRule="auto"/>
        <w:ind w:left="360"/>
        <w:rPr>
          <w:rFonts w:asciiTheme="majorHAnsi" w:eastAsia="Calibri" w:hAnsiTheme="majorHAnsi" w:cstheme="majorHAnsi"/>
          <w:b/>
          <w:bCs/>
          <w:sz w:val="24"/>
          <w:szCs w:val="24"/>
        </w:rPr>
      </w:pPr>
      <w:r w:rsidRPr="00626BB9">
        <w:rPr>
          <w:rFonts w:asciiTheme="majorHAnsi" w:eastAsia="Times New Roman" w:hAnsiTheme="majorHAnsi" w:cstheme="majorHAnsi"/>
          <w:sz w:val="24"/>
          <w:szCs w:val="24"/>
          <w:lang w:bidi="en-US"/>
        </w:rPr>
        <w:t>Associate Dean for Graduate Studies, serving ex officio and</w:t>
      </w:r>
      <w:r w:rsidRPr="00626BB9">
        <w:rPr>
          <w:rFonts w:asciiTheme="majorHAnsi" w:eastAsia="Times New Roman" w:hAnsiTheme="majorHAnsi" w:cstheme="majorHAnsi"/>
          <w:spacing w:val="-7"/>
          <w:sz w:val="24"/>
          <w:szCs w:val="24"/>
          <w:lang w:bidi="en-US"/>
        </w:rPr>
        <w:t xml:space="preserve"> </w:t>
      </w:r>
      <w:r w:rsidRPr="00626BB9">
        <w:rPr>
          <w:rFonts w:asciiTheme="majorHAnsi" w:eastAsia="Times New Roman" w:hAnsiTheme="majorHAnsi" w:cstheme="majorHAnsi"/>
          <w:sz w:val="24"/>
          <w:szCs w:val="24"/>
          <w:lang w:bidi="en-US"/>
        </w:rPr>
        <w:t>nonvoting.</w:t>
      </w:r>
    </w:p>
    <w:p w14:paraId="6B23ED78" w14:textId="77777777" w:rsidR="00626BB9" w:rsidRPr="00626BB9" w:rsidRDefault="00626BB9" w:rsidP="00626BB9">
      <w:pPr>
        <w:widowControl w:val="0"/>
        <w:numPr>
          <w:ilvl w:val="3"/>
          <w:numId w:val="17"/>
        </w:numPr>
        <w:tabs>
          <w:tab w:val="left" w:pos="1557"/>
        </w:tabs>
        <w:autoSpaceDE w:val="0"/>
        <w:autoSpaceDN w:val="0"/>
        <w:spacing w:after="120" w:line="240" w:lineRule="auto"/>
        <w:ind w:left="360"/>
        <w:rPr>
          <w:rFonts w:asciiTheme="majorHAnsi" w:eastAsia="Calibri" w:hAnsiTheme="majorHAnsi" w:cstheme="majorHAnsi"/>
          <w:b/>
          <w:bCs/>
          <w:sz w:val="24"/>
          <w:szCs w:val="24"/>
        </w:rPr>
      </w:pPr>
      <w:r w:rsidRPr="00626BB9">
        <w:rPr>
          <w:rFonts w:asciiTheme="majorHAnsi" w:eastAsia="Times New Roman" w:hAnsiTheme="majorHAnsi" w:cstheme="majorHAnsi"/>
          <w:sz w:val="24"/>
          <w:szCs w:val="24"/>
          <w:lang w:bidi="en-US"/>
        </w:rPr>
        <w:t>Senior Director of the Office of Academic Programs and Student Services, and Director of the Office of Academic Programs and Student Services, each serving ex officio and nonvoting.</w:t>
      </w:r>
    </w:p>
    <w:p w14:paraId="05733943" w14:textId="77777777" w:rsidR="0025223E" w:rsidRPr="000B5311" w:rsidRDefault="0025223E" w:rsidP="000C2909">
      <w:pPr>
        <w:spacing w:after="0"/>
        <w:rPr>
          <w:rFonts w:asciiTheme="majorHAnsi" w:eastAsiaTheme="majorEastAsia" w:hAnsiTheme="majorHAnsi" w:cstheme="majorHAnsi"/>
          <w:sz w:val="24"/>
          <w:szCs w:val="24"/>
        </w:rPr>
      </w:pPr>
    </w:p>
    <w:p w14:paraId="6A42EA05" w14:textId="3871EBE3" w:rsidR="00643A1D" w:rsidRPr="00B3760F" w:rsidRDefault="00643A1D" w:rsidP="000C2909">
      <w:pPr>
        <w:spacing w:after="0"/>
        <w:rPr>
          <w:rFonts w:asciiTheme="majorHAnsi" w:eastAsiaTheme="majorEastAsia" w:hAnsiTheme="majorHAnsi" w:cstheme="majorHAnsi"/>
          <w:b/>
          <w:bCs/>
          <w:sz w:val="24"/>
          <w:szCs w:val="24"/>
        </w:rPr>
      </w:pPr>
      <w:r w:rsidRPr="00B3760F">
        <w:rPr>
          <w:rFonts w:asciiTheme="majorHAnsi" w:eastAsiaTheme="majorEastAsia" w:hAnsiTheme="majorHAnsi" w:cstheme="majorHAnsi"/>
          <w:b/>
          <w:bCs/>
          <w:sz w:val="24"/>
          <w:szCs w:val="24"/>
        </w:rPr>
        <w:t xml:space="preserve">Meetings </w:t>
      </w:r>
    </w:p>
    <w:p w14:paraId="78E5F229" w14:textId="751DC627" w:rsidR="00ED6349" w:rsidRDefault="00ED6349" w:rsidP="00ED6349">
      <w:pPr>
        <w:rPr>
          <w:rFonts w:asciiTheme="majorHAnsi" w:eastAsiaTheme="majorEastAsia" w:hAnsiTheme="majorHAnsi" w:cstheme="majorHAnsi"/>
          <w:sz w:val="24"/>
          <w:szCs w:val="24"/>
        </w:rPr>
      </w:pPr>
      <w:r w:rsidRPr="00ED6349">
        <w:rPr>
          <w:rFonts w:asciiTheme="majorHAnsi" w:eastAsiaTheme="majorEastAsia" w:hAnsiTheme="majorHAnsi" w:cstheme="majorHAnsi"/>
          <w:sz w:val="24"/>
          <w:szCs w:val="24"/>
        </w:rPr>
        <w:t xml:space="preserve">The </w:t>
      </w:r>
      <w:r w:rsidR="009127F4">
        <w:rPr>
          <w:rFonts w:asciiTheme="majorHAnsi" w:eastAsiaTheme="majorEastAsia" w:hAnsiTheme="majorHAnsi" w:cstheme="majorHAnsi"/>
          <w:sz w:val="24"/>
          <w:szCs w:val="24"/>
        </w:rPr>
        <w:t>A</w:t>
      </w:r>
      <w:r w:rsidR="00FC19A7">
        <w:rPr>
          <w:rFonts w:asciiTheme="majorHAnsi" w:eastAsiaTheme="majorEastAsia" w:hAnsiTheme="majorHAnsi" w:cstheme="majorHAnsi"/>
          <w:sz w:val="24"/>
          <w:szCs w:val="24"/>
        </w:rPr>
        <w:t>cademic Studies and Governance</w:t>
      </w:r>
      <w:r w:rsidRPr="00ED6349">
        <w:rPr>
          <w:rFonts w:asciiTheme="majorHAnsi" w:eastAsiaTheme="majorEastAsia" w:hAnsiTheme="majorHAnsi" w:cstheme="majorHAnsi"/>
          <w:sz w:val="24"/>
          <w:szCs w:val="24"/>
        </w:rPr>
        <w:t xml:space="preserve"> Committee shall meet throughout the academic year and as necessary to meet the Committee's charge.</w:t>
      </w:r>
    </w:p>
    <w:p w14:paraId="4760F481" w14:textId="77777777" w:rsidR="00FD336D" w:rsidRPr="00ED6349" w:rsidRDefault="00FD336D" w:rsidP="00ED6349">
      <w:pPr>
        <w:rPr>
          <w:rFonts w:asciiTheme="majorHAnsi" w:eastAsiaTheme="majorEastAsia" w:hAnsiTheme="majorHAnsi" w:cstheme="majorHAnsi"/>
          <w:sz w:val="24"/>
          <w:szCs w:val="24"/>
        </w:rPr>
      </w:pPr>
    </w:p>
    <w:p w14:paraId="2750CA2A" w14:textId="2376964E" w:rsidR="00C351F5" w:rsidRDefault="00C351F5" w:rsidP="000C2909">
      <w:pPr>
        <w:spacing w:after="0"/>
        <w:rPr>
          <w:rFonts w:asciiTheme="majorHAnsi" w:eastAsiaTheme="majorEastAsia" w:hAnsiTheme="majorHAnsi" w:cstheme="majorHAnsi"/>
          <w:b/>
          <w:bCs/>
          <w:sz w:val="24"/>
          <w:szCs w:val="24"/>
        </w:rPr>
      </w:pPr>
      <w:r>
        <w:rPr>
          <w:rFonts w:asciiTheme="majorHAnsi" w:eastAsiaTheme="majorEastAsia" w:hAnsiTheme="majorHAnsi" w:cstheme="majorHAnsi"/>
          <w:b/>
          <w:bCs/>
          <w:sz w:val="24"/>
          <w:szCs w:val="24"/>
        </w:rPr>
        <w:lastRenderedPageBreak/>
        <w:t xml:space="preserve">Committee </w:t>
      </w:r>
      <w:r w:rsidR="00643A1D" w:rsidRPr="00304BFD">
        <w:rPr>
          <w:rFonts w:asciiTheme="majorHAnsi" w:eastAsiaTheme="majorEastAsia" w:hAnsiTheme="majorHAnsi" w:cstheme="majorHAnsi"/>
          <w:b/>
          <w:bCs/>
          <w:sz w:val="24"/>
          <w:szCs w:val="24"/>
        </w:rPr>
        <w:t>Responsibilities</w:t>
      </w:r>
      <w:r w:rsidR="00E8206C" w:rsidRPr="00304BFD">
        <w:rPr>
          <w:rFonts w:asciiTheme="majorHAnsi" w:eastAsiaTheme="majorEastAsia" w:hAnsiTheme="majorHAnsi" w:cstheme="majorHAnsi"/>
          <w:b/>
          <w:bCs/>
          <w:sz w:val="24"/>
          <w:szCs w:val="24"/>
        </w:rPr>
        <w:t xml:space="preserve"> </w:t>
      </w:r>
    </w:p>
    <w:p w14:paraId="30E2C314" w14:textId="77777777" w:rsidR="00C5273F" w:rsidRDefault="00FD336D" w:rsidP="00FD336D">
      <w:pPr>
        <w:tabs>
          <w:tab w:val="left" w:pos="180"/>
        </w:tabs>
        <w:spacing w:line="276" w:lineRule="auto"/>
        <w:ind w:left="360"/>
        <w:rPr>
          <w:rFonts w:asciiTheme="majorHAnsi" w:hAnsiTheme="majorHAnsi" w:cstheme="majorHAnsi"/>
          <w:sz w:val="24"/>
          <w:szCs w:val="24"/>
        </w:rPr>
      </w:pPr>
      <w:r w:rsidRPr="00FD336D">
        <w:rPr>
          <w:rFonts w:asciiTheme="majorHAnsi" w:hAnsiTheme="majorHAnsi" w:cstheme="majorHAnsi"/>
          <w:sz w:val="24"/>
          <w:szCs w:val="24"/>
        </w:rPr>
        <w:t>General responsibilities of the ASGC follow applicable OAA and Graduate School policies and practices for undergraduate studies and graduate studies committees. The ASGC Chair will serve as the liaison and contact person for university-level undergraduate studies and graduate studies committee requests from the Office for Academic Affairs, the Graduate School, or other applicable units.</w:t>
      </w:r>
    </w:p>
    <w:p w14:paraId="2376998F" w14:textId="0DFFFEE8" w:rsidR="00FD336D" w:rsidRPr="00FD336D" w:rsidRDefault="00FD336D" w:rsidP="00FD336D">
      <w:pPr>
        <w:tabs>
          <w:tab w:val="left" w:pos="180"/>
        </w:tabs>
        <w:spacing w:line="276" w:lineRule="auto"/>
        <w:ind w:left="360"/>
        <w:rPr>
          <w:rFonts w:asciiTheme="majorHAnsi" w:hAnsiTheme="majorHAnsi" w:cstheme="majorHAnsi"/>
          <w:sz w:val="24"/>
          <w:szCs w:val="24"/>
        </w:rPr>
      </w:pPr>
      <w:r w:rsidRPr="00FD336D">
        <w:rPr>
          <w:rFonts w:asciiTheme="majorHAnsi" w:hAnsiTheme="majorHAnsi" w:cstheme="majorHAnsi"/>
          <w:sz w:val="24"/>
          <w:szCs w:val="24"/>
        </w:rPr>
        <w:t>In addition, the Academic Studies Governance Committee of the College of Public Health has the following responsibilities:</w:t>
      </w:r>
    </w:p>
    <w:p w14:paraId="17EDCB2F" w14:textId="77777777" w:rsidR="00FD336D" w:rsidRPr="00FD336D" w:rsidRDefault="00FD336D" w:rsidP="00FD336D">
      <w:pPr>
        <w:numPr>
          <w:ilvl w:val="0"/>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Review and make recommendations to the faculty about undergraduate and graduate academic policy decisions, programs, and courses. Examples include major changes in degree requirements or the designation of specializations, including interdisciplinary.</w:t>
      </w:r>
    </w:p>
    <w:p w14:paraId="18988173" w14:textId="77777777" w:rsidR="00FD336D" w:rsidRPr="00FD336D" w:rsidRDefault="00FD336D" w:rsidP="00FD336D">
      <w:pPr>
        <w:numPr>
          <w:ilvl w:val="0"/>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Establish and coordinate policy in areas having College-wide impact, including:</w:t>
      </w:r>
    </w:p>
    <w:p w14:paraId="2DAAD52C" w14:textId="77777777" w:rsidR="00FD336D" w:rsidRPr="00FD336D" w:rsidRDefault="00FD336D" w:rsidP="00FD336D">
      <w:pPr>
        <w:numPr>
          <w:ilvl w:val="1"/>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courses shared by more than one degree program as requirements.</w:t>
      </w:r>
    </w:p>
    <w:p w14:paraId="0DC0BBE6" w14:textId="77777777" w:rsidR="00FD336D" w:rsidRPr="00FD336D" w:rsidRDefault="00FD336D" w:rsidP="00FD336D">
      <w:pPr>
        <w:numPr>
          <w:ilvl w:val="1"/>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approval of new undergraduate and graduate courses or substantive changes to existing courses.</w:t>
      </w:r>
    </w:p>
    <w:p w14:paraId="35F521E6" w14:textId="77777777" w:rsidR="00FD336D" w:rsidRPr="00FD336D" w:rsidRDefault="00FD336D" w:rsidP="00FD336D">
      <w:pPr>
        <w:numPr>
          <w:ilvl w:val="1"/>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development of sources of student support and establishment of guidelines for its allocation.</w:t>
      </w:r>
    </w:p>
    <w:p w14:paraId="18224900" w14:textId="77777777" w:rsidR="00FD336D" w:rsidRPr="00FD336D" w:rsidRDefault="00FD336D" w:rsidP="00FD336D">
      <w:pPr>
        <w:numPr>
          <w:ilvl w:val="0"/>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 xml:space="preserve">Promote growth and excellence in undergraduate and graduate education, and visibility of the College internally, locally, </w:t>
      </w:r>
      <w:proofErr w:type="gramStart"/>
      <w:r w:rsidRPr="00FD336D">
        <w:rPr>
          <w:rFonts w:asciiTheme="majorHAnsi" w:hAnsiTheme="majorHAnsi" w:cstheme="majorHAnsi"/>
          <w:sz w:val="24"/>
          <w:szCs w:val="24"/>
        </w:rPr>
        <w:t>nationally</w:t>
      </w:r>
      <w:proofErr w:type="gramEnd"/>
      <w:r w:rsidRPr="00FD336D">
        <w:rPr>
          <w:rFonts w:asciiTheme="majorHAnsi" w:hAnsiTheme="majorHAnsi" w:cstheme="majorHAnsi"/>
          <w:sz w:val="24"/>
          <w:szCs w:val="24"/>
        </w:rPr>
        <w:t xml:space="preserve"> and internationally.</w:t>
      </w:r>
    </w:p>
    <w:p w14:paraId="24E8008B" w14:textId="77777777" w:rsidR="00C5273F" w:rsidRDefault="00FD336D" w:rsidP="00FD336D">
      <w:pPr>
        <w:numPr>
          <w:ilvl w:val="0"/>
          <w:numId w:val="18"/>
        </w:numPr>
        <w:spacing w:after="0" w:line="276" w:lineRule="auto"/>
        <w:rPr>
          <w:rFonts w:asciiTheme="majorHAnsi" w:hAnsiTheme="majorHAnsi" w:cstheme="majorHAnsi"/>
          <w:sz w:val="24"/>
          <w:szCs w:val="24"/>
        </w:rPr>
      </w:pPr>
      <w:r w:rsidRPr="00FD336D">
        <w:rPr>
          <w:rFonts w:asciiTheme="majorHAnsi" w:hAnsiTheme="majorHAnsi" w:cstheme="majorHAnsi"/>
          <w:sz w:val="24"/>
          <w:szCs w:val="24"/>
        </w:rPr>
        <w:t>Review and approve the College Undergraduate Student Handbook and College Graduate Student Handbook.</w:t>
      </w:r>
    </w:p>
    <w:p w14:paraId="56413F5B" w14:textId="2C8C7EC4" w:rsidR="00FF6A18" w:rsidRPr="00C5273F" w:rsidRDefault="00FD336D" w:rsidP="00FD336D">
      <w:pPr>
        <w:numPr>
          <w:ilvl w:val="0"/>
          <w:numId w:val="18"/>
        </w:numPr>
        <w:spacing w:after="0" w:line="276" w:lineRule="auto"/>
        <w:rPr>
          <w:rFonts w:asciiTheme="majorHAnsi" w:hAnsiTheme="majorHAnsi" w:cstheme="majorHAnsi"/>
          <w:sz w:val="24"/>
          <w:szCs w:val="24"/>
        </w:rPr>
      </w:pPr>
      <w:r w:rsidRPr="00C5273F">
        <w:rPr>
          <w:rFonts w:asciiTheme="majorHAnsi" w:hAnsiTheme="majorHAnsi" w:cstheme="majorHAnsi"/>
          <w:sz w:val="24"/>
          <w:szCs w:val="24"/>
        </w:rPr>
        <w:t>Assist with applicable accreditation activities</w:t>
      </w:r>
    </w:p>
    <w:sectPr w:rsidR="00FF6A18" w:rsidRPr="00C527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F02C" w14:textId="77777777" w:rsidR="0096261F" w:rsidRDefault="0096261F" w:rsidP="00C45F55">
      <w:pPr>
        <w:spacing w:after="0" w:line="240" w:lineRule="auto"/>
      </w:pPr>
      <w:r>
        <w:separator/>
      </w:r>
    </w:p>
  </w:endnote>
  <w:endnote w:type="continuationSeparator" w:id="0">
    <w:p w14:paraId="2ADA1D38" w14:textId="77777777" w:rsidR="0096261F" w:rsidRDefault="0096261F" w:rsidP="00C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63ED" w14:textId="27DFEE2A" w:rsidR="0047050E" w:rsidRDefault="0047050E" w:rsidP="0047050E">
    <w:pPr>
      <w:pStyle w:val="Footer"/>
      <w:tabs>
        <w:tab w:val="clear" w:pos="4680"/>
        <w:tab w:val="clear" w:pos="9360"/>
        <w:tab w:val="left" w:pos="72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E851" w14:textId="77777777" w:rsidR="0096261F" w:rsidRDefault="0096261F" w:rsidP="00C45F55">
      <w:pPr>
        <w:spacing w:after="0" w:line="240" w:lineRule="auto"/>
      </w:pPr>
      <w:r>
        <w:separator/>
      </w:r>
    </w:p>
  </w:footnote>
  <w:footnote w:type="continuationSeparator" w:id="0">
    <w:p w14:paraId="0A833FDE" w14:textId="77777777" w:rsidR="0096261F" w:rsidRDefault="0096261F" w:rsidP="00C45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2D8" w14:textId="540F1196" w:rsidR="003A6AC3" w:rsidRPr="00802C62" w:rsidRDefault="003A6AC3" w:rsidP="00B3760F">
    <w:pPr>
      <w:widowControl w:val="0"/>
      <w:spacing w:after="0" w:line="240" w:lineRule="auto"/>
      <w:ind w:left="2364" w:right="2364"/>
      <w:jc w:val="center"/>
      <w:rPr>
        <w:rFonts w:eastAsia="Times New Roman" w:cs="Times New Roman"/>
        <w:b/>
        <w:sz w:val="24"/>
        <w:szCs w:val="24"/>
      </w:rPr>
    </w:pPr>
    <w:r w:rsidRPr="00802C62">
      <w:rPr>
        <w:rFonts w:eastAsia="Times New Roman" w:cs="Times New Roman"/>
        <w:b/>
        <w:sz w:val="24"/>
        <w:szCs w:val="24"/>
      </w:rPr>
      <w:t>College of Public Health</w:t>
    </w:r>
  </w:p>
  <w:p w14:paraId="4802EFFE" w14:textId="1F30BDE4" w:rsidR="003A6AC3" w:rsidRDefault="00485753"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POA</w:t>
    </w:r>
    <w:r w:rsidR="00BA1C51">
      <w:rPr>
        <w:rFonts w:eastAsia="Times New Roman" w:cs="Times New Roman"/>
        <w:b/>
        <w:sz w:val="24"/>
        <w:szCs w:val="24"/>
      </w:rPr>
      <w:t xml:space="preserve"> Standing</w:t>
    </w:r>
    <w:r w:rsidR="008B6FF4">
      <w:rPr>
        <w:rFonts w:eastAsia="Times New Roman" w:cs="Times New Roman"/>
        <w:b/>
        <w:sz w:val="24"/>
        <w:szCs w:val="24"/>
      </w:rPr>
      <w:t xml:space="preserve"> Committee Guidelines</w:t>
    </w:r>
  </w:p>
  <w:p w14:paraId="1CBD3A18" w14:textId="137D9B49" w:rsidR="003A6AC3" w:rsidRDefault="009F4B6E"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A</w:t>
    </w:r>
    <w:r w:rsidR="00914901">
      <w:rPr>
        <w:rFonts w:eastAsia="Times New Roman" w:cs="Times New Roman"/>
        <w:b/>
        <w:sz w:val="24"/>
        <w:szCs w:val="24"/>
      </w:rPr>
      <w:t>cademic Studies Governance</w:t>
    </w:r>
    <w:r>
      <w:rPr>
        <w:rFonts w:eastAsia="Times New Roman" w:cs="Times New Roman"/>
        <w:b/>
        <w:sz w:val="24"/>
        <w:szCs w:val="24"/>
      </w:rPr>
      <w:t xml:space="preserve"> Committee</w:t>
    </w:r>
  </w:p>
  <w:p w14:paraId="4B768BD1" w14:textId="2EBABF63" w:rsidR="00B3760F" w:rsidRPr="0047050E" w:rsidRDefault="00B3760F" w:rsidP="00B3760F">
    <w:pPr>
      <w:widowControl w:val="0"/>
      <w:spacing w:after="0" w:line="240" w:lineRule="auto"/>
      <w:ind w:left="180"/>
      <w:jc w:val="center"/>
      <w:rPr>
        <w:rFonts w:eastAsia="Times New Roman" w:cs="Times New Roman"/>
        <w:b/>
        <w:sz w:val="24"/>
        <w:szCs w:val="24"/>
      </w:rPr>
    </w:pPr>
    <w:r>
      <w:rPr>
        <w:rFonts w:eastAsia="Times New Roman" w:cs="Times New Roman"/>
        <w:b/>
        <w:sz w:val="24"/>
        <w:szCs w:val="24"/>
      </w:rPr>
      <w:t xml:space="preserve">Approved </w:t>
    </w:r>
    <w:r w:rsidR="00C522C1">
      <w:rPr>
        <w:rFonts w:eastAsia="Times New Roman" w:cs="Times New Roman"/>
        <w:b/>
        <w:sz w:val="24"/>
        <w:szCs w:val="24"/>
      </w:rPr>
      <w:t>February 28</w:t>
    </w:r>
    <w:r w:rsidR="00496619">
      <w:rPr>
        <w:rFonts w:eastAsia="Times New Roman" w:cs="Times New Roman"/>
        <w:b/>
        <w:sz w:val="24"/>
        <w:szCs w:val="24"/>
      </w:rPr>
      <w:t>,</w:t>
    </w:r>
    <w:r w:rsidR="00E136BB">
      <w:rPr>
        <w:rFonts w:eastAsia="Times New Roman" w:cs="Times New Roman"/>
        <w:b/>
        <w:sz w:val="24"/>
        <w:szCs w:val="24"/>
      </w:rPr>
      <w:t xml:space="preserve"> 2024</w:t>
    </w:r>
  </w:p>
  <w:p w14:paraId="7F2B1716" w14:textId="77777777" w:rsidR="003A6AC3" w:rsidRDefault="003A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5E2"/>
    <w:multiLevelType w:val="multilevel"/>
    <w:tmpl w:val="983C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20C54"/>
    <w:multiLevelType w:val="hybridMultilevel"/>
    <w:tmpl w:val="434A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07AEA"/>
    <w:multiLevelType w:val="multilevel"/>
    <w:tmpl w:val="53C66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81123"/>
    <w:multiLevelType w:val="hybridMultilevel"/>
    <w:tmpl w:val="34923F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F5170EE"/>
    <w:multiLevelType w:val="hybridMultilevel"/>
    <w:tmpl w:val="F930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02FA5"/>
    <w:multiLevelType w:val="multilevel"/>
    <w:tmpl w:val="F7340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D484D"/>
    <w:multiLevelType w:val="hybridMultilevel"/>
    <w:tmpl w:val="BF6893D2"/>
    <w:lvl w:ilvl="0" w:tplc="CD6AF6A6">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D521BF0">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40123"/>
    <w:multiLevelType w:val="multilevel"/>
    <w:tmpl w:val="A40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94C2A"/>
    <w:multiLevelType w:val="multilevel"/>
    <w:tmpl w:val="460EF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58419C"/>
    <w:multiLevelType w:val="hybridMultilevel"/>
    <w:tmpl w:val="742EA62A"/>
    <w:lvl w:ilvl="0" w:tplc="4C747DAC">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A45AE"/>
    <w:multiLevelType w:val="hybridMultilevel"/>
    <w:tmpl w:val="4A062CD0"/>
    <w:lvl w:ilvl="0" w:tplc="FFFFFFFF">
      <w:start w:val="1"/>
      <w:numFmt w:val="lowerLetter"/>
      <w:lvlText w:val="%1)"/>
      <w:lvlJc w:val="left"/>
      <w:pPr>
        <w:ind w:left="720" w:hanging="360"/>
      </w:pPr>
    </w:lvl>
    <w:lvl w:ilvl="1" w:tplc="4C747DAC">
      <w:start w:val="1"/>
      <w:numFmt w:val="decimal"/>
      <w:lvlText w:val="%2)"/>
      <w:lvlJc w:val="left"/>
      <w:pPr>
        <w:ind w:left="1296"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D4C3E"/>
    <w:multiLevelType w:val="hybridMultilevel"/>
    <w:tmpl w:val="0D58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44CDF"/>
    <w:multiLevelType w:val="hybridMultilevel"/>
    <w:tmpl w:val="7ADA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30858"/>
    <w:multiLevelType w:val="multilevel"/>
    <w:tmpl w:val="963E6C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1CE4DA0"/>
    <w:multiLevelType w:val="hybridMultilevel"/>
    <w:tmpl w:val="524CB31C"/>
    <w:lvl w:ilvl="0" w:tplc="B6AA1800">
      <w:start w:val="1"/>
      <w:numFmt w:val="decimal"/>
      <w:lvlText w:val="%1."/>
      <w:lvlJc w:val="left"/>
      <w:pPr>
        <w:ind w:left="720" w:hanging="360"/>
      </w:pPr>
      <w:rPr>
        <w:rFonts w:asciiTheme="majorHAnsi" w:hAnsiTheme="majorHAnsi" w:cstheme="majorHAns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D7649"/>
    <w:multiLevelType w:val="hybridMultilevel"/>
    <w:tmpl w:val="CD163CA4"/>
    <w:lvl w:ilvl="0" w:tplc="0409000F">
      <w:start w:val="1"/>
      <w:numFmt w:val="decimal"/>
      <w:lvlText w:val="%1."/>
      <w:lvlJc w:val="left"/>
      <w:pPr>
        <w:ind w:left="129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E1F417B"/>
    <w:multiLevelType w:val="multilevel"/>
    <w:tmpl w:val="A4422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913C98"/>
    <w:multiLevelType w:val="multilevel"/>
    <w:tmpl w:val="A05C5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9175473">
    <w:abstractNumId w:val="3"/>
  </w:num>
  <w:num w:numId="2" w16cid:durableId="634872833">
    <w:abstractNumId w:val="12"/>
  </w:num>
  <w:num w:numId="3" w16cid:durableId="1355225445">
    <w:abstractNumId w:val="10"/>
  </w:num>
  <w:num w:numId="4" w16cid:durableId="1144539556">
    <w:abstractNumId w:val="4"/>
  </w:num>
  <w:num w:numId="5" w16cid:durableId="1388257287">
    <w:abstractNumId w:val="13"/>
  </w:num>
  <w:num w:numId="6" w16cid:durableId="615134712">
    <w:abstractNumId w:val="2"/>
  </w:num>
  <w:num w:numId="7" w16cid:durableId="1026491500">
    <w:abstractNumId w:val="5"/>
  </w:num>
  <w:num w:numId="8" w16cid:durableId="582758622">
    <w:abstractNumId w:val="17"/>
  </w:num>
  <w:num w:numId="9" w16cid:durableId="568268324">
    <w:abstractNumId w:val="16"/>
  </w:num>
  <w:num w:numId="10" w16cid:durableId="454056280">
    <w:abstractNumId w:val="0"/>
  </w:num>
  <w:num w:numId="11" w16cid:durableId="1710838407">
    <w:abstractNumId w:val="8"/>
  </w:num>
  <w:num w:numId="12" w16cid:durableId="1337032396">
    <w:abstractNumId w:val="7"/>
  </w:num>
  <w:num w:numId="13" w16cid:durableId="1005016301">
    <w:abstractNumId w:val="9"/>
  </w:num>
  <w:num w:numId="14" w16cid:durableId="474417798">
    <w:abstractNumId w:val="15"/>
  </w:num>
  <w:num w:numId="15" w16cid:durableId="603995560">
    <w:abstractNumId w:val="11"/>
  </w:num>
  <w:num w:numId="16" w16cid:durableId="1535540532">
    <w:abstractNumId w:val="1"/>
  </w:num>
  <w:num w:numId="17" w16cid:durableId="1936281407">
    <w:abstractNumId w:val="6"/>
  </w:num>
  <w:num w:numId="18" w16cid:durableId="14745663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0"/>
    <w:rsid w:val="00002D48"/>
    <w:rsid w:val="0000792C"/>
    <w:rsid w:val="00053C51"/>
    <w:rsid w:val="0009BA35"/>
    <w:rsid w:val="000A460A"/>
    <w:rsid w:val="000B24A3"/>
    <w:rsid w:val="000B5311"/>
    <w:rsid w:val="000C2909"/>
    <w:rsid w:val="000F63E2"/>
    <w:rsid w:val="00105714"/>
    <w:rsid w:val="00137A06"/>
    <w:rsid w:val="001643A3"/>
    <w:rsid w:val="00182A91"/>
    <w:rsid w:val="001E457E"/>
    <w:rsid w:val="00224F21"/>
    <w:rsid w:val="002261BD"/>
    <w:rsid w:val="0025223E"/>
    <w:rsid w:val="002530DA"/>
    <w:rsid w:val="00271545"/>
    <w:rsid w:val="002B16A4"/>
    <w:rsid w:val="002B2440"/>
    <w:rsid w:val="002B2AF8"/>
    <w:rsid w:val="002C6DCC"/>
    <w:rsid w:val="002C6FB5"/>
    <w:rsid w:val="002E3715"/>
    <w:rsid w:val="002E5190"/>
    <w:rsid w:val="00304BFD"/>
    <w:rsid w:val="00310D57"/>
    <w:rsid w:val="00395E56"/>
    <w:rsid w:val="003A6AC3"/>
    <w:rsid w:val="003A6F2C"/>
    <w:rsid w:val="003B4E73"/>
    <w:rsid w:val="00422CF0"/>
    <w:rsid w:val="004557AE"/>
    <w:rsid w:val="0046275D"/>
    <w:rsid w:val="0047050E"/>
    <w:rsid w:val="00472351"/>
    <w:rsid w:val="00480E3E"/>
    <w:rsid w:val="00485753"/>
    <w:rsid w:val="004864D6"/>
    <w:rsid w:val="00496619"/>
    <w:rsid w:val="004C318F"/>
    <w:rsid w:val="004F09E8"/>
    <w:rsid w:val="004F0A46"/>
    <w:rsid w:val="005305F2"/>
    <w:rsid w:val="00547860"/>
    <w:rsid w:val="00564B7C"/>
    <w:rsid w:val="005B71B5"/>
    <w:rsid w:val="005C6981"/>
    <w:rsid w:val="005C6F1E"/>
    <w:rsid w:val="00626BB9"/>
    <w:rsid w:val="00643A1D"/>
    <w:rsid w:val="00661596"/>
    <w:rsid w:val="0068687D"/>
    <w:rsid w:val="006A181C"/>
    <w:rsid w:val="006B7E33"/>
    <w:rsid w:val="006E6CAE"/>
    <w:rsid w:val="006E7FDD"/>
    <w:rsid w:val="007200FA"/>
    <w:rsid w:val="0072631E"/>
    <w:rsid w:val="007A7732"/>
    <w:rsid w:val="007B1A21"/>
    <w:rsid w:val="008377F2"/>
    <w:rsid w:val="00867E62"/>
    <w:rsid w:val="008809A2"/>
    <w:rsid w:val="00880C70"/>
    <w:rsid w:val="00882494"/>
    <w:rsid w:val="008906F0"/>
    <w:rsid w:val="008A4971"/>
    <w:rsid w:val="008A750E"/>
    <w:rsid w:val="008B6FF4"/>
    <w:rsid w:val="008C1E82"/>
    <w:rsid w:val="008D0F6F"/>
    <w:rsid w:val="008E1690"/>
    <w:rsid w:val="009127F4"/>
    <w:rsid w:val="00914901"/>
    <w:rsid w:val="00920AAF"/>
    <w:rsid w:val="00926F05"/>
    <w:rsid w:val="0094072F"/>
    <w:rsid w:val="009418C0"/>
    <w:rsid w:val="00941FE4"/>
    <w:rsid w:val="00952E88"/>
    <w:rsid w:val="0096261F"/>
    <w:rsid w:val="009837C3"/>
    <w:rsid w:val="009B633D"/>
    <w:rsid w:val="009C151F"/>
    <w:rsid w:val="009D71EE"/>
    <w:rsid w:val="009F4B6E"/>
    <w:rsid w:val="00A05B06"/>
    <w:rsid w:val="00A14298"/>
    <w:rsid w:val="00A32CEE"/>
    <w:rsid w:val="00AA1ACD"/>
    <w:rsid w:val="00AA613D"/>
    <w:rsid w:val="00AA7823"/>
    <w:rsid w:val="00AF0629"/>
    <w:rsid w:val="00B00FB5"/>
    <w:rsid w:val="00B251E3"/>
    <w:rsid w:val="00B3760F"/>
    <w:rsid w:val="00B64667"/>
    <w:rsid w:val="00B747E8"/>
    <w:rsid w:val="00B77223"/>
    <w:rsid w:val="00B92388"/>
    <w:rsid w:val="00BA1C51"/>
    <w:rsid w:val="00BA53B4"/>
    <w:rsid w:val="00BB5148"/>
    <w:rsid w:val="00BD05FF"/>
    <w:rsid w:val="00BF2D67"/>
    <w:rsid w:val="00BF652B"/>
    <w:rsid w:val="00C00084"/>
    <w:rsid w:val="00C039AE"/>
    <w:rsid w:val="00C351F5"/>
    <w:rsid w:val="00C45F55"/>
    <w:rsid w:val="00C522C1"/>
    <w:rsid w:val="00C5273F"/>
    <w:rsid w:val="00C90723"/>
    <w:rsid w:val="00CC4EC8"/>
    <w:rsid w:val="00CF1795"/>
    <w:rsid w:val="00D12473"/>
    <w:rsid w:val="00D132AE"/>
    <w:rsid w:val="00D26A11"/>
    <w:rsid w:val="00D31CDF"/>
    <w:rsid w:val="00D613B9"/>
    <w:rsid w:val="00D70055"/>
    <w:rsid w:val="00D77E83"/>
    <w:rsid w:val="00D92378"/>
    <w:rsid w:val="00DB33E5"/>
    <w:rsid w:val="00DB6EE0"/>
    <w:rsid w:val="00DC5F2E"/>
    <w:rsid w:val="00DF03C7"/>
    <w:rsid w:val="00E04CA8"/>
    <w:rsid w:val="00E07489"/>
    <w:rsid w:val="00E11677"/>
    <w:rsid w:val="00E12CEB"/>
    <w:rsid w:val="00E136BB"/>
    <w:rsid w:val="00E256D5"/>
    <w:rsid w:val="00E54C8A"/>
    <w:rsid w:val="00E7144C"/>
    <w:rsid w:val="00E8206C"/>
    <w:rsid w:val="00ED6349"/>
    <w:rsid w:val="00EE03AE"/>
    <w:rsid w:val="00F40C84"/>
    <w:rsid w:val="00F53CA2"/>
    <w:rsid w:val="00F55091"/>
    <w:rsid w:val="00FC19A7"/>
    <w:rsid w:val="00FD336D"/>
    <w:rsid w:val="00FF4090"/>
    <w:rsid w:val="00FF6A18"/>
    <w:rsid w:val="011086CF"/>
    <w:rsid w:val="01A58A96"/>
    <w:rsid w:val="027AC857"/>
    <w:rsid w:val="02C64B0B"/>
    <w:rsid w:val="03EEA3C8"/>
    <w:rsid w:val="0413E043"/>
    <w:rsid w:val="0539B9C2"/>
    <w:rsid w:val="0696A92E"/>
    <w:rsid w:val="0859E3FF"/>
    <w:rsid w:val="09D4F373"/>
    <w:rsid w:val="0F0A2D82"/>
    <w:rsid w:val="13FD12E6"/>
    <w:rsid w:val="1511A74F"/>
    <w:rsid w:val="1561C471"/>
    <w:rsid w:val="173EB76C"/>
    <w:rsid w:val="17DA7F9A"/>
    <w:rsid w:val="19764FFB"/>
    <w:rsid w:val="1A51CEB5"/>
    <w:rsid w:val="1A6274F8"/>
    <w:rsid w:val="262C00B1"/>
    <w:rsid w:val="262D42BA"/>
    <w:rsid w:val="27443695"/>
    <w:rsid w:val="28D80106"/>
    <w:rsid w:val="29663860"/>
    <w:rsid w:val="2A981464"/>
    <w:rsid w:val="2D49B636"/>
    <w:rsid w:val="305DB29C"/>
    <w:rsid w:val="30610296"/>
    <w:rsid w:val="3205D2AF"/>
    <w:rsid w:val="3443FDCF"/>
    <w:rsid w:val="3552C7D5"/>
    <w:rsid w:val="360F51D8"/>
    <w:rsid w:val="3B460119"/>
    <w:rsid w:val="3FA23201"/>
    <w:rsid w:val="461F0C64"/>
    <w:rsid w:val="48A6555A"/>
    <w:rsid w:val="4C0CFBCD"/>
    <w:rsid w:val="4C3713D6"/>
    <w:rsid w:val="4CCA194A"/>
    <w:rsid w:val="4D64E36C"/>
    <w:rsid w:val="4DD2E437"/>
    <w:rsid w:val="50A9F4DC"/>
    <w:rsid w:val="51FE47EC"/>
    <w:rsid w:val="55E89DAC"/>
    <w:rsid w:val="56848D09"/>
    <w:rsid w:val="5B52692F"/>
    <w:rsid w:val="5E9ECDCF"/>
    <w:rsid w:val="61FB4359"/>
    <w:rsid w:val="639713BA"/>
    <w:rsid w:val="6490B93C"/>
    <w:rsid w:val="66E35768"/>
    <w:rsid w:val="6E47C663"/>
    <w:rsid w:val="6F8D87ED"/>
    <w:rsid w:val="707B0816"/>
    <w:rsid w:val="724F0DA6"/>
    <w:rsid w:val="73C4E960"/>
    <w:rsid w:val="747F3E06"/>
    <w:rsid w:val="74E84C09"/>
    <w:rsid w:val="7668EDCA"/>
    <w:rsid w:val="774F90B4"/>
    <w:rsid w:val="79E7CCFE"/>
    <w:rsid w:val="7A726B33"/>
    <w:rsid w:val="7B0AFFE2"/>
    <w:rsid w:val="7B1688D3"/>
    <w:rsid w:val="7B481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4C63"/>
  <w15:chartTrackingRefBased/>
  <w15:docId w15:val="{8A342CF7-B738-460E-B013-CF422394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F0"/>
    <w:pPr>
      <w:ind w:left="720"/>
      <w:contextualSpacing/>
    </w:pPr>
  </w:style>
  <w:style w:type="paragraph" w:styleId="BalloonText">
    <w:name w:val="Balloon Text"/>
    <w:basedOn w:val="Normal"/>
    <w:link w:val="BalloonTextChar"/>
    <w:uiPriority w:val="99"/>
    <w:semiHidden/>
    <w:unhideWhenUsed/>
    <w:rsid w:val="0064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1D"/>
    <w:rPr>
      <w:rFonts w:ascii="Segoe UI" w:hAnsi="Segoe UI" w:cs="Segoe UI"/>
      <w:sz w:val="18"/>
      <w:szCs w:val="18"/>
    </w:rPr>
  </w:style>
  <w:style w:type="character" w:styleId="CommentReference">
    <w:name w:val="annotation reference"/>
    <w:basedOn w:val="DefaultParagraphFont"/>
    <w:uiPriority w:val="99"/>
    <w:semiHidden/>
    <w:unhideWhenUsed/>
    <w:rsid w:val="00DC5F2E"/>
    <w:rPr>
      <w:sz w:val="16"/>
      <w:szCs w:val="16"/>
    </w:rPr>
  </w:style>
  <w:style w:type="paragraph" w:styleId="CommentText">
    <w:name w:val="annotation text"/>
    <w:basedOn w:val="Normal"/>
    <w:link w:val="CommentTextChar"/>
    <w:uiPriority w:val="99"/>
    <w:unhideWhenUsed/>
    <w:rsid w:val="00DC5F2E"/>
    <w:pPr>
      <w:spacing w:line="240" w:lineRule="auto"/>
    </w:pPr>
    <w:rPr>
      <w:sz w:val="20"/>
      <w:szCs w:val="20"/>
    </w:rPr>
  </w:style>
  <w:style w:type="character" w:customStyle="1" w:styleId="CommentTextChar">
    <w:name w:val="Comment Text Char"/>
    <w:basedOn w:val="DefaultParagraphFont"/>
    <w:link w:val="CommentText"/>
    <w:uiPriority w:val="99"/>
    <w:rsid w:val="00DC5F2E"/>
    <w:rPr>
      <w:sz w:val="20"/>
      <w:szCs w:val="20"/>
    </w:rPr>
  </w:style>
  <w:style w:type="paragraph" w:styleId="CommentSubject">
    <w:name w:val="annotation subject"/>
    <w:basedOn w:val="CommentText"/>
    <w:next w:val="CommentText"/>
    <w:link w:val="CommentSubjectChar"/>
    <w:uiPriority w:val="99"/>
    <w:semiHidden/>
    <w:unhideWhenUsed/>
    <w:rsid w:val="00DC5F2E"/>
    <w:rPr>
      <w:b/>
      <w:bCs/>
    </w:rPr>
  </w:style>
  <w:style w:type="character" w:customStyle="1" w:styleId="CommentSubjectChar">
    <w:name w:val="Comment Subject Char"/>
    <w:basedOn w:val="CommentTextChar"/>
    <w:link w:val="CommentSubject"/>
    <w:uiPriority w:val="99"/>
    <w:semiHidden/>
    <w:rsid w:val="00DC5F2E"/>
    <w:rPr>
      <w:b/>
      <w:bCs/>
      <w:sz w:val="20"/>
      <w:szCs w:val="20"/>
    </w:rPr>
  </w:style>
  <w:style w:type="paragraph" w:customStyle="1" w:styleId="paragraph">
    <w:name w:val="paragraph"/>
    <w:basedOn w:val="Normal"/>
    <w:rsid w:val="00E8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206C"/>
  </w:style>
  <w:style w:type="character" w:customStyle="1" w:styleId="eop">
    <w:name w:val="eop"/>
    <w:basedOn w:val="DefaultParagraphFont"/>
    <w:rsid w:val="00E8206C"/>
  </w:style>
  <w:style w:type="paragraph" w:styleId="NormalWeb">
    <w:name w:val="Normal (Web)"/>
    <w:basedOn w:val="Normal"/>
    <w:uiPriority w:val="99"/>
    <w:unhideWhenUsed/>
    <w:rsid w:val="006B7E33"/>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55"/>
  </w:style>
  <w:style w:type="paragraph" w:styleId="Footer">
    <w:name w:val="footer"/>
    <w:basedOn w:val="Normal"/>
    <w:link w:val="FooterChar"/>
    <w:uiPriority w:val="99"/>
    <w:unhideWhenUsed/>
    <w:rsid w:val="00C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168">
      <w:bodyDiv w:val="1"/>
      <w:marLeft w:val="0"/>
      <w:marRight w:val="0"/>
      <w:marTop w:val="0"/>
      <w:marBottom w:val="0"/>
      <w:divBdr>
        <w:top w:val="none" w:sz="0" w:space="0" w:color="auto"/>
        <w:left w:val="none" w:sz="0" w:space="0" w:color="auto"/>
        <w:bottom w:val="none" w:sz="0" w:space="0" w:color="auto"/>
        <w:right w:val="none" w:sz="0" w:space="0" w:color="auto"/>
      </w:divBdr>
    </w:div>
    <w:div w:id="661546913">
      <w:bodyDiv w:val="1"/>
      <w:marLeft w:val="0"/>
      <w:marRight w:val="0"/>
      <w:marTop w:val="0"/>
      <w:marBottom w:val="0"/>
      <w:divBdr>
        <w:top w:val="none" w:sz="0" w:space="0" w:color="auto"/>
        <w:left w:val="none" w:sz="0" w:space="0" w:color="auto"/>
        <w:bottom w:val="none" w:sz="0" w:space="0" w:color="auto"/>
        <w:right w:val="none" w:sz="0" w:space="0" w:color="auto"/>
      </w:divBdr>
      <w:divsChild>
        <w:div w:id="195505803">
          <w:marLeft w:val="0"/>
          <w:marRight w:val="0"/>
          <w:marTop w:val="0"/>
          <w:marBottom w:val="0"/>
          <w:divBdr>
            <w:top w:val="none" w:sz="0" w:space="0" w:color="auto"/>
            <w:left w:val="none" w:sz="0" w:space="0" w:color="auto"/>
            <w:bottom w:val="none" w:sz="0" w:space="0" w:color="auto"/>
            <w:right w:val="none" w:sz="0" w:space="0" w:color="auto"/>
          </w:divBdr>
          <w:divsChild>
            <w:div w:id="244415844">
              <w:marLeft w:val="0"/>
              <w:marRight w:val="0"/>
              <w:marTop w:val="0"/>
              <w:marBottom w:val="0"/>
              <w:divBdr>
                <w:top w:val="none" w:sz="0" w:space="0" w:color="auto"/>
                <w:left w:val="none" w:sz="0" w:space="0" w:color="auto"/>
                <w:bottom w:val="none" w:sz="0" w:space="0" w:color="auto"/>
                <w:right w:val="none" w:sz="0" w:space="0" w:color="auto"/>
              </w:divBdr>
            </w:div>
            <w:div w:id="576937590">
              <w:marLeft w:val="0"/>
              <w:marRight w:val="0"/>
              <w:marTop w:val="0"/>
              <w:marBottom w:val="0"/>
              <w:divBdr>
                <w:top w:val="none" w:sz="0" w:space="0" w:color="auto"/>
                <w:left w:val="none" w:sz="0" w:space="0" w:color="auto"/>
                <w:bottom w:val="none" w:sz="0" w:space="0" w:color="auto"/>
                <w:right w:val="none" w:sz="0" w:space="0" w:color="auto"/>
              </w:divBdr>
            </w:div>
          </w:divsChild>
        </w:div>
        <w:div w:id="1354847565">
          <w:marLeft w:val="0"/>
          <w:marRight w:val="0"/>
          <w:marTop w:val="0"/>
          <w:marBottom w:val="0"/>
          <w:divBdr>
            <w:top w:val="none" w:sz="0" w:space="0" w:color="auto"/>
            <w:left w:val="none" w:sz="0" w:space="0" w:color="auto"/>
            <w:bottom w:val="none" w:sz="0" w:space="0" w:color="auto"/>
            <w:right w:val="none" w:sz="0" w:space="0" w:color="auto"/>
          </w:divBdr>
          <w:divsChild>
            <w:div w:id="1061252637">
              <w:marLeft w:val="0"/>
              <w:marRight w:val="0"/>
              <w:marTop w:val="0"/>
              <w:marBottom w:val="0"/>
              <w:divBdr>
                <w:top w:val="none" w:sz="0" w:space="0" w:color="auto"/>
                <w:left w:val="none" w:sz="0" w:space="0" w:color="auto"/>
                <w:bottom w:val="none" w:sz="0" w:space="0" w:color="auto"/>
                <w:right w:val="none" w:sz="0" w:space="0" w:color="auto"/>
              </w:divBdr>
            </w:div>
            <w:div w:id="1133014020">
              <w:marLeft w:val="0"/>
              <w:marRight w:val="0"/>
              <w:marTop w:val="0"/>
              <w:marBottom w:val="0"/>
              <w:divBdr>
                <w:top w:val="none" w:sz="0" w:space="0" w:color="auto"/>
                <w:left w:val="none" w:sz="0" w:space="0" w:color="auto"/>
                <w:bottom w:val="none" w:sz="0" w:space="0" w:color="auto"/>
                <w:right w:val="none" w:sz="0" w:space="0" w:color="auto"/>
              </w:divBdr>
            </w:div>
            <w:div w:id="1383560009">
              <w:marLeft w:val="0"/>
              <w:marRight w:val="0"/>
              <w:marTop w:val="0"/>
              <w:marBottom w:val="0"/>
              <w:divBdr>
                <w:top w:val="none" w:sz="0" w:space="0" w:color="auto"/>
                <w:left w:val="none" w:sz="0" w:space="0" w:color="auto"/>
                <w:bottom w:val="none" w:sz="0" w:space="0" w:color="auto"/>
                <w:right w:val="none" w:sz="0" w:space="0" w:color="auto"/>
              </w:divBdr>
            </w:div>
            <w:div w:id="1780028012">
              <w:marLeft w:val="0"/>
              <w:marRight w:val="0"/>
              <w:marTop w:val="0"/>
              <w:marBottom w:val="0"/>
              <w:divBdr>
                <w:top w:val="none" w:sz="0" w:space="0" w:color="auto"/>
                <w:left w:val="none" w:sz="0" w:space="0" w:color="auto"/>
                <w:bottom w:val="none" w:sz="0" w:space="0" w:color="auto"/>
                <w:right w:val="none" w:sz="0" w:space="0" w:color="auto"/>
              </w:divBdr>
            </w:div>
            <w:div w:id="20493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041">
      <w:bodyDiv w:val="1"/>
      <w:marLeft w:val="0"/>
      <w:marRight w:val="0"/>
      <w:marTop w:val="0"/>
      <w:marBottom w:val="0"/>
      <w:divBdr>
        <w:top w:val="none" w:sz="0" w:space="0" w:color="auto"/>
        <w:left w:val="none" w:sz="0" w:space="0" w:color="auto"/>
        <w:bottom w:val="none" w:sz="0" w:space="0" w:color="auto"/>
        <w:right w:val="none" w:sz="0" w:space="0" w:color="auto"/>
      </w:divBdr>
    </w:div>
    <w:div w:id="19783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b64138e-34a0-4685-8f7d-98445cfcd0d2" xsi:nil="true"/>
    <Teams_Channel_Section_Location xmlns="3b64138e-34a0-4685-8f7d-98445cfcd0d2" xsi:nil="true"/>
    <Templates xmlns="3b64138e-34a0-4685-8f7d-98445cfcd0d2" xsi:nil="true"/>
    <Self_Registration_Enabled xmlns="3b64138e-34a0-4685-8f7d-98445cfcd0d2" xsi:nil="true"/>
    <Has_Leaders_Only_SectionGroup xmlns="3b64138e-34a0-4685-8f7d-98445cfcd0d2" xsi:nil="true"/>
    <DefaultSectionNames xmlns="3b64138e-34a0-4685-8f7d-98445cfcd0d2" xsi:nil="true"/>
    <Invited_Members xmlns="3b64138e-34a0-4685-8f7d-98445cfcd0d2" xsi:nil="true"/>
    <Member_Groups xmlns="3b64138e-34a0-4685-8f7d-98445cfcd0d2">
      <UserInfo>
        <DisplayName/>
        <AccountId xsi:nil="true"/>
        <AccountType/>
      </UserInfo>
    </Member_Groups>
    <CultureName xmlns="3b64138e-34a0-4685-8f7d-98445cfcd0d2" xsi:nil="true"/>
    <AppVersion xmlns="3b64138e-34a0-4685-8f7d-98445cfcd0d2" xsi:nil="true"/>
    <LMS_Mappings xmlns="3b64138e-34a0-4685-8f7d-98445cfcd0d2" xsi:nil="true"/>
    <Members xmlns="3b64138e-34a0-4685-8f7d-98445cfcd0d2">
      <UserInfo>
        <DisplayName/>
        <AccountId xsi:nil="true"/>
        <AccountType/>
      </UserInfo>
    </Members>
    <FolderType xmlns="3b64138e-34a0-4685-8f7d-98445cfcd0d2" xsi:nil="true"/>
    <Distribution_Groups xmlns="3b64138e-34a0-4685-8f7d-98445cfcd0d2" xsi:nil="true"/>
    <Invited_Leaders xmlns="3b64138e-34a0-4685-8f7d-98445cfcd0d2" xsi:nil="true"/>
    <IsNotebookLocked xmlns="3b64138e-34a0-4685-8f7d-98445cfcd0d2" xsi:nil="true"/>
    <Math_Settings xmlns="3b64138e-34a0-4685-8f7d-98445cfcd0d2" xsi:nil="true"/>
    <Owner xmlns="3b64138e-34a0-4685-8f7d-98445cfcd0d2">
      <UserInfo>
        <DisplayName/>
        <AccountId xsi:nil="true"/>
        <AccountType/>
      </UserInfo>
    </Owner>
    <TeamsChannelId xmlns="3b64138e-34a0-4685-8f7d-98445cfcd0d2" xsi:nil="true"/>
    <NotebookType xmlns="3b64138e-34a0-4685-8f7d-98445cfcd0d2" xsi:nil="true"/>
    <Leaders xmlns="3b64138e-34a0-4685-8f7d-98445cfcd0d2">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0BBA3EA4AE724A851BD5E87BE44215" ma:contentTypeVersion="25" ma:contentTypeDescription="Create a new document." ma:contentTypeScope="" ma:versionID="dac208ad1d91c93e2fd731c06681af87">
  <xsd:schema xmlns:xsd="http://www.w3.org/2001/XMLSchema" xmlns:xs="http://www.w3.org/2001/XMLSchema" xmlns:p="http://schemas.microsoft.com/office/2006/metadata/properties" xmlns:ns2="3b64138e-34a0-4685-8f7d-98445cfcd0d2" targetNamespace="http://schemas.microsoft.com/office/2006/metadata/properties" ma:root="true" ma:fieldsID="231465077686a43675fd71f95b324382" ns2:_="">
    <xsd:import namespace="3b64138e-34a0-4685-8f7d-98445cfcd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138e-34a0-4685-8f7d-98445cfc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83701-660A-4745-9AF2-665B7F35D724}">
  <ds:schemaRefs>
    <ds:schemaRef ds:uri="http://schemas.microsoft.com/sharepoint/v3/contenttype/forms"/>
  </ds:schemaRefs>
</ds:datastoreItem>
</file>

<file path=customXml/itemProps2.xml><?xml version="1.0" encoding="utf-8"?>
<ds:datastoreItem xmlns:ds="http://schemas.openxmlformats.org/officeDocument/2006/customXml" ds:itemID="{997CEFFC-8B33-4E94-9D6A-FECDC3628034}">
  <ds:schemaRefs>
    <ds:schemaRef ds:uri="http://schemas.microsoft.com/office/2006/metadata/properties"/>
    <ds:schemaRef ds:uri="http://schemas.microsoft.com/office/infopath/2007/PartnerControls"/>
    <ds:schemaRef ds:uri="3b64138e-34a0-4685-8f7d-98445cfcd0d2"/>
  </ds:schemaRefs>
</ds:datastoreItem>
</file>

<file path=customXml/itemProps3.xml><?xml version="1.0" encoding="utf-8"?>
<ds:datastoreItem xmlns:ds="http://schemas.openxmlformats.org/officeDocument/2006/customXml" ds:itemID="{9DC2F42D-A097-40E1-A568-CAD9DE08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4138e-34a0-4685-8f7d-98445cfc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Padamsee, Tasleem J.</dc:creator>
  <cp:keywords/>
  <dc:description/>
  <cp:lastModifiedBy>Garringer, Andrea</cp:lastModifiedBy>
  <cp:revision>13</cp:revision>
  <dcterms:created xsi:type="dcterms:W3CDTF">2024-01-29T19:17:00Z</dcterms:created>
  <dcterms:modified xsi:type="dcterms:W3CDTF">2024-02-29T14:35:00Z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0x0101006B0BBA3EA4AE724A851BD5E87BE44215</vt:lpwstr>
  </property>
</Properties>
</file>